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EA7CC5">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362088">
              <w:rPr>
                <w:rFonts w:asciiTheme="majorHAnsi" w:eastAsiaTheme="majorEastAsia" w:hAnsiTheme="majorHAnsi" w:cstheme="majorBidi"/>
                <w:sz w:val="36"/>
                <w:szCs w:val="36"/>
              </w:rPr>
              <w:t>7</w:t>
            </w:r>
            <w:r>
              <w:rPr>
                <w:rFonts w:asciiTheme="majorHAnsi" w:eastAsiaTheme="majorEastAsia" w:hAnsiTheme="majorHAnsi" w:cstheme="majorBidi"/>
                <w:sz w:val="36"/>
                <w:szCs w:val="36"/>
              </w:rPr>
              <w:t xml:space="preserve"> </w:t>
            </w:r>
            <w:r w:rsidR="00EA7CC5">
              <w:rPr>
                <w:rFonts w:asciiTheme="majorHAnsi" w:eastAsiaTheme="majorEastAsia" w:hAnsiTheme="majorHAnsi" w:cstheme="majorBidi"/>
                <w:sz w:val="36"/>
                <w:szCs w:val="36"/>
              </w:rPr>
              <w:t>EYLÜL</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211FE"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XX</w:t>
            </w:r>
            <w:r w:rsidR="00523ED9">
              <w:rPr>
                <w:rFonts w:asciiTheme="majorHAnsi" w:eastAsiaTheme="majorEastAsia" w:hAnsiTheme="majorHAnsi" w:cstheme="majorBidi"/>
                <w:bCs/>
                <w:sz w:val="28"/>
                <w:szCs w:val="36"/>
              </w:rPr>
              <w:t xml:space="preserve"> </w:t>
            </w:r>
            <w:r w:rsidR="00EA7CC5">
              <w:rPr>
                <w:rFonts w:asciiTheme="majorHAnsi" w:eastAsiaTheme="majorEastAsia" w:hAnsiTheme="majorHAnsi" w:cstheme="majorBidi"/>
                <w:bCs/>
                <w:sz w:val="28"/>
                <w:szCs w:val="36"/>
              </w:rPr>
              <w:t>Kasım</w:t>
            </w:r>
            <w:r w:rsidR="002B75B7">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362088">
              <w:rPr>
                <w:rFonts w:asciiTheme="majorHAnsi" w:eastAsiaTheme="majorEastAsia" w:hAnsiTheme="majorHAnsi" w:cstheme="majorBidi"/>
                <w:bCs/>
                <w:sz w:val="28"/>
                <w:szCs w:val="36"/>
              </w:rPr>
              <w:t>7</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8C61EB">
        <w:rPr>
          <w:rFonts w:ascii="Times New Roman" w:hAnsi="Times New Roman" w:cs="Times New Roman"/>
          <w:b/>
        </w:rPr>
        <w:t>Kısa vadeli dış borçlara</w:t>
      </w:r>
      <w:r w:rsidR="008C0FFC" w:rsidRPr="008C61EB">
        <w:rPr>
          <w:rFonts w:ascii="Times New Roman" w:hAnsi="Times New Roman" w:cs="Times New Roman"/>
          <w:b/>
        </w:rPr>
        <w:t xml:space="preserve"> ilişkin </w:t>
      </w:r>
      <w:r w:rsidR="00362088">
        <w:rPr>
          <w:rFonts w:ascii="Times New Roman" w:hAnsi="Times New Roman" w:cs="Times New Roman"/>
          <w:b/>
        </w:rPr>
        <w:t>2017</w:t>
      </w:r>
      <w:r w:rsidR="009226FD">
        <w:rPr>
          <w:rFonts w:ascii="Times New Roman" w:hAnsi="Times New Roman" w:cs="Times New Roman"/>
          <w:b/>
        </w:rPr>
        <w:t xml:space="preserve"> </w:t>
      </w:r>
      <w:r w:rsidR="00EA7CC5">
        <w:rPr>
          <w:rFonts w:ascii="Times New Roman" w:hAnsi="Times New Roman" w:cs="Times New Roman"/>
          <w:b/>
        </w:rPr>
        <w:t>Eylül</w:t>
      </w:r>
      <w:r w:rsidR="009226FD">
        <w:rPr>
          <w:rFonts w:ascii="Times New Roman" w:hAnsi="Times New Roman" w:cs="Times New Roman"/>
          <w:b/>
        </w:rPr>
        <w:t xml:space="preserve"> ayı</w:t>
      </w:r>
      <w:r w:rsidR="00C623A8">
        <w:rPr>
          <w:rFonts w:ascii="Times New Roman" w:hAnsi="Times New Roman" w:cs="Times New Roman"/>
          <w:b/>
        </w:rPr>
        <w:t xml:space="preserve"> </w:t>
      </w:r>
      <w:r w:rsidR="009805F0" w:rsidRPr="008C61EB">
        <w:rPr>
          <w:rFonts w:ascii="Times New Roman" w:hAnsi="Times New Roman" w:cs="Times New Roman"/>
          <w:b/>
        </w:rPr>
        <w:t>verileri</w:t>
      </w:r>
      <w:r w:rsidR="00EB586D" w:rsidRPr="008C61EB">
        <w:rPr>
          <w:rFonts w:ascii="Times New Roman" w:hAnsi="Times New Roman" w:cs="Times New Roman"/>
          <w:b/>
        </w:rPr>
        <w:t>,</w:t>
      </w:r>
      <w:r w:rsidR="009805F0" w:rsidRPr="008C61EB">
        <w:rPr>
          <w:rFonts w:ascii="Times New Roman" w:hAnsi="Times New Roman" w:cs="Times New Roman"/>
          <w:b/>
        </w:rPr>
        <w:t xml:space="preserve"> </w:t>
      </w:r>
      <w:r w:rsidR="00EF4E45" w:rsidRPr="008C61EB">
        <w:rPr>
          <w:rFonts w:ascii="Times New Roman" w:hAnsi="Times New Roman" w:cs="Times New Roman"/>
          <w:b/>
        </w:rPr>
        <w:t xml:space="preserve">Türkiye </w:t>
      </w:r>
      <w:r w:rsidR="009805F0" w:rsidRPr="008C61EB">
        <w:rPr>
          <w:rFonts w:ascii="Times New Roman" w:hAnsi="Times New Roman" w:cs="Times New Roman"/>
          <w:b/>
        </w:rPr>
        <w:t xml:space="preserve">Cumhuriyet Merkez Bankası (TCMB) tarafından </w:t>
      </w:r>
      <w:r w:rsidR="00EA7CC5">
        <w:rPr>
          <w:rFonts w:ascii="Times New Roman" w:hAnsi="Times New Roman" w:cs="Times New Roman"/>
          <w:b/>
        </w:rPr>
        <w:t>16 Kasım</w:t>
      </w:r>
      <w:r w:rsidR="00C61B29" w:rsidRPr="002634DE">
        <w:rPr>
          <w:rFonts w:ascii="Times New Roman" w:hAnsi="Times New Roman" w:cs="Times New Roman"/>
          <w:b/>
        </w:rPr>
        <w:t xml:space="preserve"> </w:t>
      </w:r>
      <w:r w:rsidR="00EF4E45" w:rsidRPr="002634DE">
        <w:rPr>
          <w:rFonts w:ascii="Times New Roman" w:hAnsi="Times New Roman" w:cs="Times New Roman"/>
          <w:b/>
        </w:rPr>
        <w:t>201</w:t>
      </w:r>
      <w:r w:rsidR="00362088" w:rsidRPr="002634DE">
        <w:rPr>
          <w:rFonts w:ascii="Times New Roman" w:hAnsi="Times New Roman" w:cs="Times New Roman"/>
          <w:b/>
        </w:rPr>
        <w:t>7</w:t>
      </w:r>
      <w:r w:rsidR="00EF4E45" w:rsidRPr="002634DE">
        <w:rPr>
          <w:rFonts w:ascii="Times New Roman" w:hAnsi="Times New Roman" w:cs="Times New Roman"/>
          <w:b/>
        </w:rPr>
        <w:t xml:space="preserve"> </w:t>
      </w:r>
      <w:r w:rsidR="00EF4E45" w:rsidRPr="008C61EB">
        <w:rPr>
          <w:rFonts w:ascii="Times New Roman" w:hAnsi="Times New Roman" w:cs="Times New Roman"/>
          <w:b/>
        </w:rPr>
        <w:t>tarihinde yayımlandı</w:t>
      </w:r>
      <w:r w:rsidR="001768C6" w:rsidRPr="008C61EB">
        <w:rPr>
          <w:rStyle w:val="DipnotBavurusu"/>
          <w:rFonts w:ascii="Times New Roman" w:hAnsi="Times New Roman" w:cs="Times New Roman"/>
          <w:b/>
        </w:rPr>
        <w:footnoteReference w:id="1"/>
      </w:r>
      <w:r w:rsidR="00EF4E45" w:rsidRPr="008C61EB">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27F31">
        <w:rPr>
          <w:rFonts w:ascii="Times New Roman" w:hAnsi="Times New Roman" w:cs="Times New Roman"/>
          <w:b/>
        </w:rPr>
        <w:t xml:space="preserve">2017 </w:t>
      </w:r>
      <w:r w:rsidR="00EA7CC5">
        <w:rPr>
          <w:rFonts w:ascii="Times New Roman" w:hAnsi="Times New Roman" w:cs="Times New Roman"/>
          <w:b/>
        </w:rPr>
        <w:t>Eylül</w:t>
      </w:r>
      <w:r w:rsidR="00C651B6">
        <w:rPr>
          <w:rFonts w:ascii="Times New Roman" w:hAnsi="Times New Roman" w:cs="Times New Roman"/>
          <w:b/>
        </w:rPr>
        <w:t xml:space="preserve"> ayı</w:t>
      </w:r>
      <w:r w:rsidR="00591000">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362088">
        <w:rPr>
          <w:rFonts w:ascii="Times New Roman" w:hAnsi="Times New Roman" w:cs="Times New Roman"/>
          <w:b/>
        </w:rPr>
        <w:t>2016</w:t>
      </w:r>
      <w:r w:rsidR="004368C8" w:rsidRPr="008C61EB">
        <w:rPr>
          <w:rFonts w:ascii="Times New Roman" w:hAnsi="Times New Roman" w:cs="Times New Roman"/>
          <w:b/>
        </w:rPr>
        <w:t xml:space="preserve"> yılsonuna göre </w:t>
      </w:r>
      <w:r w:rsidR="00EA7CC5">
        <w:rPr>
          <w:rFonts w:ascii="Times New Roman" w:hAnsi="Times New Roman" w:cs="Times New Roman"/>
          <w:b/>
        </w:rPr>
        <w:t>12,3</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B83517">
        <w:rPr>
          <w:rFonts w:ascii="Times New Roman" w:hAnsi="Times New Roman" w:cs="Times New Roman"/>
          <w:b/>
        </w:rPr>
        <w:t xml:space="preserve"> artmış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8C0FFC" w:rsidRPr="008C61EB">
        <w:rPr>
          <w:rFonts w:ascii="Times New Roman" w:hAnsi="Times New Roman" w:cs="Times New Roman"/>
          <w:b/>
        </w:rPr>
        <w:t>1</w:t>
      </w:r>
      <w:r w:rsidR="00EA7CC5">
        <w:rPr>
          <w:rFonts w:ascii="Times New Roman" w:hAnsi="Times New Roman" w:cs="Times New Roman"/>
          <w:b/>
        </w:rPr>
        <w:t>10,3</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EA7CC5">
        <w:rPr>
          <w:rFonts w:ascii="Times New Roman" w:hAnsi="Times New Roman" w:cs="Times New Roman"/>
          <w:b/>
        </w:rPr>
        <w:t>4,5</w:t>
      </w:r>
      <w:r w:rsidR="002634DE">
        <w:rPr>
          <w:rFonts w:ascii="Times New Roman" w:hAnsi="Times New Roman" w:cs="Times New Roman"/>
          <w:b/>
        </w:rPr>
        <w:t xml:space="preserve"> milyar</w:t>
      </w:r>
      <w:r w:rsidR="00B83517">
        <w:rPr>
          <w:rFonts w:ascii="Times New Roman" w:hAnsi="Times New Roman" w:cs="Times New Roman"/>
          <w:b/>
        </w:rPr>
        <w:t xml:space="preserve"> ABD doları artarak</w:t>
      </w:r>
      <w:r w:rsidR="00EC5A9D" w:rsidRPr="008C61EB">
        <w:rPr>
          <w:rFonts w:ascii="Times New Roman" w:hAnsi="Times New Roman" w:cs="Times New Roman"/>
          <w:b/>
        </w:rPr>
        <w:t xml:space="preserve"> </w:t>
      </w:r>
      <w:r w:rsidR="00EA7CC5">
        <w:rPr>
          <w:rFonts w:ascii="Times New Roman" w:hAnsi="Times New Roman" w:cs="Times New Roman"/>
          <w:b/>
        </w:rPr>
        <w:t>6</w:t>
      </w:r>
      <w:r w:rsidR="00B050FE">
        <w:rPr>
          <w:rFonts w:ascii="Times New Roman" w:hAnsi="Times New Roman" w:cs="Times New Roman"/>
          <w:b/>
        </w:rPr>
        <w:t>1</w:t>
      </w:r>
      <w:r w:rsidR="00EA7CC5">
        <w:rPr>
          <w:rFonts w:ascii="Times New Roman" w:hAnsi="Times New Roman" w:cs="Times New Roman"/>
          <w:b/>
        </w:rPr>
        <w:t>,9</w:t>
      </w:r>
      <w:r w:rsidR="00EC5A9D" w:rsidRPr="008C61EB">
        <w:rPr>
          <w:rFonts w:ascii="Times New Roman" w:hAnsi="Times New Roman" w:cs="Times New Roman"/>
          <w:b/>
        </w:rPr>
        <w:t xml:space="preserve"> milyar ABD dolarına, diğer sektörler kaynaklı kısa vadeli dış borç stoku da </w:t>
      </w:r>
      <w:r w:rsidR="00EA7CC5">
        <w:rPr>
          <w:rFonts w:ascii="Times New Roman" w:hAnsi="Times New Roman" w:cs="Times New Roman"/>
          <w:b/>
        </w:rPr>
        <w:t>7,8</w:t>
      </w:r>
      <w:r w:rsidR="001B12AE">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1B12AE">
        <w:rPr>
          <w:rFonts w:ascii="Times New Roman" w:hAnsi="Times New Roman" w:cs="Times New Roman"/>
          <w:b/>
        </w:rPr>
        <w:t>art</w:t>
      </w:r>
      <w:r w:rsidR="00B83517">
        <w:rPr>
          <w:rFonts w:ascii="Times New Roman" w:hAnsi="Times New Roman" w:cs="Times New Roman"/>
          <w:b/>
        </w:rPr>
        <w:t>a</w:t>
      </w:r>
      <w:r w:rsidR="00EA7CC5">
        <w:rPr>
          <w:rFonts w:ascii="Times New Roman" w:hAnsi="Times New Roman" w:cs="Times New Roman"/>
          <w:b/>
        </w:rPr>
        <w:t>rak 48,3</w:t>
      </w:r>
      <w:r w:rsidR="00EC5A9D" w:rsidRPr="008C61EB">
        <w:rPr>
          <w:rFonts w:ascii="Times New Roman" w:hAnsi="Times New Roman" w:cs="Times New Roman"/>
          <w:b/>
        </w:rPr>
        <w:t xml:space="preserve"> milyar ABD dolarına </w:t>
      </w:r>
      <w:r w:rsidR="00A01910">
        <w:rPr>
          <w:rFonts w:ascii="Times New Roman" w:hAnsi="Times New Roman" w:cs="Times New Roman"/>
          <w:b/>
        </w:rPr>
        <w:t>ulaşmıştır</w:t>
      </w:r>
      <w:r w:rsidR="00EC5A9D" w:rsidRPr="008C61EB">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C65655">
        <w:rPr>
          <w:rFonts w:ascii="Times New Roman" w:hAnsi="Times New Roman" w:cs="Times New Roman"/>
        </w:rPr>
        <w:t>2017:</w:t>
      </w:r>
      <w:r w:rsidR="00EA7CC5">
        <w:rPr>
          <w:rFonts w:ascii="Times New Roman" w:hAnsi="Times New Roman" w:cs="Times New Roman"/>
        </w:rPr>
        <w:t>Eylül</w:t>
      </w:r>
      <w:r w:rsidR="00763473">
        <w:rPr>
          <w:rFonts w:ascii="Times New Roman" w:hAnsi="Times New Roman" w:cs="Times New Roman"/>
        </w:rPr>
        <w:t>, Milyon ABD Doları</w:t>
      </w:r>
      <w:r w:rsidR="008C0FFC">
        <w:rPr>
          <w:rFonts w:ascii="Times New Roman" w:hAnsi="Times New Roman" w:cs="Times New Roman"/>
        </w:rPr>
        <w:t>)</w:t>
      </w:r>
    </w:p>
    <w:p w:rsidR="00B22842" w:rsidRDefault="00EA7CC5" w:rsidP="00356CFC">
      <w:pPr>
        <w:spacing w:line="240" w:lineRule="auto"/>
        <w:jc w:val="both"/>
        <w:rPr>
          <w:noProof/>
        </w:rPr>
      </w:pPr>
      <w:r w:rsidRPr="00EA7CC5">
        <w:drawing>
          <wp:inline distT="0" distB="0" distL="0" distR="0" wp14:anchorId="630DC001" wp14:editId="218BD4BC">
            <wp:extent cx="5969000" cy="3829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3831494"/>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9A5666">
        <w:rPr>
          <w:rFonts w:ascii="Times New Roman" w:hAnsi="Times New Roman" w:cs="Times New Roman"/>
        </w:rPr>
        <w:t>a vadeli dış borç stokunun %5</w:t>
      </w:r>
      <w:r w:rsidR="00472F39">
        <w:rPr>
          <w:rFonts w:ascii="Times New Roman" w:hAnsi="Times New Roman" w:cs="Times New Roman"/>
        </w:rPr>
        <w:t>6</w:t>
      </w:r>
      <w:r w:rsidR="009A5666">
        <w:rPr>
          <w:rFonts w:ascii="Times New Roman" w:hAnsi="Times New Roman" w:cs="Times New Roman"/>
        </w:rPr>
        <w:t>,1</w:t>
      </w:r>
      <w:r w:rsidR="00DD0C6D" w:rsidRPr="008C61EB">
        <w:rPr>
          <w:rFonts w:ascii="Times New Roman" w:hAnsi="Times New Roman" w:cs="Times New Roman"/>
        </w:rPr>
        <w:t>’</w:t>
      </w:r>
      <w:r w:rsidR="009A5666">
        <w:rPr>
          <w:rFonts w:ascii="Times New Roman" w:hAnsi="Times New Roman" w:cs="Times New Roman"/>
        </w:rPr>
        <w:t>i</w:t>
      </w:r>
      <w:r w:rsidR="00DD0C6D" w:rsidRPr="008C61EB">
        <w:rPr>
          <w:rFonts w:ascii="Times New Roman" w:hAnsi="Times New Roman" w:cs="Times New Roman"/>
        </w:rPr>
        <w:t xml:space="preserve"> bankalar kaynaklı borçlardan oluşmaktadır. Bankalar kaynaklı borçların %</w:t>
      </w:r>
      <w:r w:rsidR="009A5666">
        <w:rPr>
          <w:rFonts w:ascii="Times New Roman" w:hAnsi="Times New Roman" w:cs="Times New Roman"/>
        </w:rPr>
        <w:t>25,9</w:t>
      </w:r>
      <w:r w:rsidR="00C65655">
        <w:rPr>
          <w:rFonts w:ascii="Times New Roman" w:hAnsi="Times New Roman" w:cs="Times New Roman"/>
        </w:rPr>
        <w:t>’</w:t>
      </w:r>
      <w:r w:rsidR="009A5666">
        <w:rPr>
          <w:rFonts w:ascii="Times New Roman" w:hAnsi="Times New Roman" w:cs="Times New Roman"/>
        </w:rPr>
        <w:t>u</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5D6C5E">
        <w:rPr>
          <w:rFonts w:ascii="Times New Roman" w:hAnsi="Times New Roman" w:cs="Times New Roman"/>
        </w:rPr>
        <w:t xml:space="preserve"> kısa vadeli krediler 2017</w:t>
      </w:r>
      <w:r w:rsidR="00BD44AB">
        <w:rPr>
          <w:rFonts w:ascii="Times New Roman" w:hAnsi="Times New Roman" w:cs="Times New Roman"/>
        </w:rPr>
        <w:t xml:space="preserve"> yılı </w:t>
      </w:r>
      <w:r w:rsidR="009A5666">
        <w:rPr>
          <w:rFonts w:ascii="Times New Roman" w:hAnsi="Times New Roman" w:cs="Times New Roman"/>
        </w:rPr>
        <w:t>Eylül</w:t>
      </w:r>
      <w:r w:rsidR="00BD44AB">
        <w:rPr>
          <w:rFonts w:ascii="Times New Roman" w:hAnsi="Times New Roman" w:cs="Times New Roman"/>
        </w:rPr>
        <w:t xml:space="preserve"> ayı</w:t>
      </w:r>
      <w:r w:rsidR="00E80078">
        <w:rPr>
          <w:rFonts w:ascii="Times New Roman" w:hAnsi="Times New Roman" w:cs="Times New Roman"/>
        </w:rPr>
        <w:t xml:space="preserve">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9A5666">
        <w:rPr>
          <w:rFonts w:ascii="Times New Roman" w:hAnsi="Times New Roman" w:cs="Times New Roman"/>
        </w:rPr>
        <w:t>ık 1</w:t>
      </w:r>
      <w:r w:rsidR="00472F39">
        <w:rPr>
          <w:rFonts w:ascii="Times New Roman" w:hAnsi="Times New Roman" w:cs="Times New Roman"/>
        </w:rPr>
        <w:t>6</w:t>
      </w:r>
      <w:r w:rsidR="00DD0C6D" w:rsidRPr="008C61EB">
        <w:rPr>
          <w:rFonts w:ascii="Times New Roman" w:hAnsi="Times New Roman" w:cs="Times New Roman"/>
        </w:rPr>
        <w:t xml:space="preserve"> 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3D670D">
        <w:rPr>
          <w:rFonts w:ascii="Times New Roman" w:hAnsi="Times New Roman" w:cs="Times New Roman"/>
        </w:rPr>
        <w:t>016 yılsonuna göre %</w:t>
      </w:r>
      <w:r w:rsidR="009A5666">
        <w:rPr>
          <w:rFonts w:ascii="Times New Roman" w:hAnsi="Times New Roman" w:cs="Times New Roman"/>
        </w:rPr>
        <w:t>8,7</w:t>
      </w:r>
      <w:r w:rsidR="00DD0C6D" w:rsidRPr="008C61EB">
        <w:rPr>
          <w:rFonts w:ascii="Times New Roman" w:hAnsi="Times New Roman" w:cs="Times New Roman"/>
        </w:rPr>
        <w:t>’l</w:t>
      </w:r>
      <w:r w:rsidR="009A5666">
        <w:rPr>
          <w:rFonts w:ascii="Times New Roman" w:hAnsi="Times New Roman" w:cs="Times New Roman"/>
        </w:rPr>
        <w:t>i</w:t>
      </w:r>
      <w:r w:rsidR="00DD0C6D" w:rsidRPr="008C61EB">
        <w:rPr>
          <w:rFonts w:ascii="Times New Roman" w:hAnsi="Times New Roman" w:cs="Times New Roman"/>
        </w:rPr>
        <w:t xml:space="preserve">k bir </w:t>
      </w:r>
      <w:r w:rsidR="009A5666">
        <w:rPr>
          <w:rFonts w:ascii="Times New Roman" w:hAnsi="Times New Roman" w:cs="Times New Roman"/>
        </w:rPr>
        <w:t>artış</w:t>
      </w:r>
      <w:r w:rsidR="00E80078">
        <w:rPr>
          <w:rFonts w:ascii="Times New Roman" w:hAnsi="Times New Roman" w:cs="Times New Roman"/>
        </w:rPr>
        <w:t xml:space="preserve">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9A5666">
        <w:rPr>
          <w:rFonts w:ascii="Times New Roman" w:hAnsi="Times New Roman" w:cs="Times New Roman"/>
        </w:rPr>
        <w:t>z tevdiat hesabı %14,8</w:t>
      </w:r>
      <w:r w:rsidR="00F62741">
        <w:rPr>
          <w:rFonts w:ascii="Times New Roman" w:hAnsi="Times New Roman" w:cs="Times New Roman"/>
        </w:rPr>
        <w:t xml:space="preserve"> oranında</w:t>
      </w:r>
      <w:r w:rsidR="007B0983">
        <w:rPr>
          <w:rFonts w:ascii="Times New Roman" w:hAnsi="Times New Roman" w:cs="Times New Roman"/>
        </w:rPr>
        <w:t>,</w:t>
      </w:r>
      <w:r w:rsidR="00192081" w:rsidRPr="008C61EB">
        <w:rPr>
          <w:rFonts w:ascii="Times New Roman" w:hAnsi="Times New Roman" w:cs="Times New Roman"/>
        </w:rPr>
        <w:t xml:space="preserve"> </w:t>
      </w:r>
      <w:r w:rsidR="00472F39">
        <w:rPr>
          <w:rFonts w:ascii="Times New Roman" w:hAnsi="Times New Roman" w:cs="Times New Roman"/>
        </w:rPr>
        <w:t>TL cinsinden mevduatları %</w:t>
      </w:r>
      <w:r w:rsidR="009A5666">
        <w:rPr>
          <w:rFonts w:ascii="Times New Roman" w:hAnsi="Times New Roman" w:cs="Times New Roman"/>
        </w:rPr>
        <w:t>0,</w:t>
      </w:r>
      <w:r w:rsidR="00472F39">
        <w:rPr>
          <w:rFonts w:ascii="Times New Roman" w:hAnsi="Times New Roman" w:cs="Times New Roman"/>
        </w:rPr>
        <w:t>4</w:t>
      </w:r>
      <w:r w:rsidR="005D6C5E">
        <w:rPr>
          <w:rFonts w:ascii="Times New Roman" w:hAnsi="Times New Roman" w:cs="Times New Roman"/>
        </w:rPr>
        <w:t xml:space="preserve"> </w:t>
      </w:r>
      <w:r w:rsidR="003D670D">
        <w:rPr>
          <w:rFonts w:ascii="Times New Roman" w:hAnsi="Times New Roman" w:cs="Times New Roman"/>
        </w:rPr>
        <w:t>oranında, banka mevduatları %</w:t>
      </w:r>
      <w:r w:rsidR="009A5666">
        <w:rPr>
          <w:rFonts w:ascii="Times New Roman" w:hAnsi="Times New Roman" w:cs="Times New Roman"/>
        </w:rPr>
        <w:t>7,2</w:t>
      </w:r>
      <w:r w:rsidR="00192081" w:rsidRPr="008C61EB">
        <w:rPr>
          <w:rFonts w:ascii="Times New Roman" w:hAnsi="Times New Roman" w:cs="Times New Roman"/>
        </w:rPr>
        <w:t xml:space="preserve"> </w:t>
      </w:r>
      <w:r w:rsidR="005D6C5E">
        <w:rPr>
          <w:rFonts w:ascii="Times New Roman" w:hAnsi="Times New Roman" w:cs="Times New Roman"/>
        </w:rPr>
        <w:t>oranında art</w:t>
      </w:r>
      <w:r w:rsidR="00192081" w:rsidRPr="008C61EB">
        <w:rPr>
          <w:rFonts w:ascii="Times New Roman" w:hAnsi="Times New Roman" w:cs="Times New Roman"/>
        </w:rPr>
        <w:t xml:space="preserve">mıştır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5D6C5E">
        <w:rPr>
          <w:rFonts w:ascii="Times New Roman" w:hAnsi="Times New Roman" w:cs="Times New Roman"/>
        </w:rPr>
        <w:t>6</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9A5666">
        <w:rPr>
          <w:rFonts w:ascii="Times New Roman" w:hAnsi="Times New Roman" w:cs="Times New Roman"/>
        </w:rPr>
        <w:t>19,1</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F62741">
        <w:rPr>
          <w:rFonts w:ascii="Times New Roman" w:hAnsi="Times New Roman" w:cs="Times New Roman"/>
        </w:rPr>
        <w:t>rt</w:t>
      </w:r>
      <w:r w:rsidR="004875A5">
        <w:rPr>
          <w:rFonts w:ascii="Times New Roman" w:hAnsi="Times New Roman" w:cs="Times New Roman"/>
        </w:rPr>
        <w:t>a</w:t>
      </w:r>
      <w:r w:rsidR="00615417">
        <w:rPr>
          <w:rFonts w:ascii="Times New Roman" w:hAnsi="Times New Roman" w:cs="Times New Roman"/>
        </w:rPr>
        <w:t xml:space="preserve">rak </w:t>
      </w:r>
      <w:r w:rsidR="009A5666">
        <w:rPr>
          <w:rFonts w:ascii="Times New Roman" w:hAnsi="Times New Roman" w:cs="Times New Roman"/>
        </w:rPr>
        <w:t>48,3</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5D6C5E">
        <w:rPr>
          <w:rFonts w:ascii="Times New Roman" w:hAnsi="Times New Roman" w:cs="Times New Roman"/>
        </w:rPr>
        <w:t>Dış Borç Stoku (2014</w:t>
      </w:r>
      <w:r w:rsidR="00DA7BAB">
        <w:rPr>
          <w:rFonts w:ascii="Times New Roman" w:hAnsi="Times New Roman" w:cs="Times New Roman"/>
        </w:rPr>
        <w:t>:Q1-</w:t>
      </w:r>
      <w:r w:rsidR="00B86FB5">
        <w:rPr>
          <w:rFonts w:ascii="Times New Roman" w:hAnsi="Times New Roman" w:cs="Times New Roman"/>
        </w:rPr>
        <w:t xml:space="preserve"> </w:t>
      </w:r>
      <w:r w:rsidR="00EE5EFC">
        <w:rPr>
          <w:rFonts w:ascii="Times New Roman" w:hAnsi="Times New Roman" w:cs="Times New Roman"/>
        </w:rPr>
        <w:t>2017:</w:t>
      </w:r>
      <w:r w:rsidR="009A5666">
        <w:rPr>
          <w:rFonts w:ascii="Times New Roman" w:hAnsi="Times New Roman" w:cs="Times New Roman"/>
        </w:rPr>
        <w:t>Eylül</w:t>
      </w:r>
      <w:r w:rsidR="002D3475">
        <w:rPr>
          <w:rFonts w:ascii="Times New Roman" w:hAnsi="Times New Roman" w:cs="Times New Roman"/>
        </w:rPr>
        <w:t>, Milyon ABD Doları</w:t>
      </w:r>
      <w:r w:rsidR="00323271">
        <w:rPr>
          <w:rFonts w:ascii="Times New Roman" w:hAnsi="Times New Roman" w:cs="Times New Roman"/>
        </w:rPr>
        <w:t>)</w:t>
      </w:r>
    </w:p>
    <w:p w:rsidR="00EC5A9D" w:rsidRDefault="009A5666" w:rsidP="00356CFC">
      <w:pPr>
        <w:jc w:val="both"/>
        <w:rPr>
          <w:noProof/>
        </w:rPr>
      </w:pPr>
      <w:r w:rsidRPr="009A5666">
        <w:drawing>
          <wp:inline distT="0" distB="0" distL="0" distR="0" wp14:anchorId="7148F674" wp14:editId="1723C478">
            <wp:extent cx="5969000" cy="2451100"/>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452665"/>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5D6C5E">
        <w:rPr>
          <w:rFonts w:ascii="Times New Roman" w:hAnsi="Times New Roman" w:cs="Times New Roman"/>
        </w:rPr>
        <w:t>2017</w:t>
      </w:r>
      <w:r w:rsidR="00EE5EFC">
        <w:rPr>
          <w:rFonts w:ascii="Times New Roman" w:hAnsi="Times New Roman" w:cs="Times New Roman"/>
        </w:rPr>
        <w:t xml:space="preserve"> </w:t>
      </w:r>
      <w:r w:rsidR="009A5666">
        <w:rPr>
          <w:rFonts w:ascii="Times New Roman" w:hAnsi="Times New Roman" w:cs="Times New Roman"/>
        </w:rPr>
        <w:t>Eylül</w:t>
      </w:r>
      <w:r w:rsidR="00EE5EFC">
        <w:rPr>
          <w:rFonts w:ascii="Times New Roman" w:hAnsi="Times New Roman" w:cs="Times New Roman"/>
        </w:rPr>
        <w:t xml:space="preserve"> ayı</w:t>
      </w:r>
      <w:r w:rsidR="00CD1186" w:rsidRPr="008C61EB">
        <w:rPr>
          <w:rFonts w:ascii="Times New Roman" w:hAnsi="Times New Roman" w:cs="Times New Roman"/>
        </w:rPr>
        <w:t xml:space="preserve"> itibarıyla, </w:t>
      </w:r>
      <w:r w:rsidR="005D6C5E">
        <w:rPr>
          <w:rFonts w:ascii="Times New Roman" w:hAnsi="Times New Roman" w:cs="Times New Roman"/>
        </w:rPr>
        <w:t>2016</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9A5666">
        <w:rPr>
          <w:rFonts w:ascii="Times New Roman" w:hAnsi="Times New Roman" w:cs="Times New Roman"/>
        </w:rPr>
        <w:t>5,5</w:t>
      </w:r>
      <w:r w:rsidR="00481D00" w:rsidRPr="008C61EB">
        <w:rPr>
          <w:rFonts w:ascii="Times New Roman" w:hAnsi="Times New Roman" w:cs="Times New Roman"/>
        </w:rPr>
        <w:t xml:space="preserve"> oranında </w:t>
      </w:r>
      <w:r w:rsidRPr="008C61EB">
        <w:rPr>
          <w:rFonts w:ascii="Times New Roman" w:hAnsi="Times New Roman" w:cs="Times New Roman"/>
        </w:rPr>
        <w:t>a</w:t>
      </w:r>
      <w:r w:rsidR="00752663">
        <w:rPr>
          <w:rFonts w:ascii="Times New Roman" w:hAnsi="Times New Roman" w:cs="Times New Roman"/>
        </w:rPr>
        <w:t>rttı</w:t>
      </w:r>
      <w:r w:rsidR="006C2C84" w:rsidRPr="008C61EB">
        <w:rPr>
          <w:rFonts w:ascii="Times New Roman" w:hAnsi="Times New Roman" w:cs="Times New Roman"/>
        </w:rPr>
        <w:t xml:space="preserve">ğı </w:t>
      </w:r>
      <w:r w:rsidRPr="008C61EB">
        <w:rPr>
          <w:rFonts w:ascii="Times New Roman" w:hAnsi="Times New Roman" w:cs="Times New Roman"/>
        </w:rPr>
        <w:t>ve 1</w:t>
      </w:r>
      <w:r w:rsidR="009A5666">
        <w:rPr>
          <w:rFonts w:ascii="Times New Roman" w:hAnsi="Times New Roman" w:cs="Times New Roman"/>
        </w:rPr>
        <w:t>7,2</w:t>
      </w:r>
      <w:r w:rsidRPr="008C61EB">
        <w:rPr>
          <w:rFonts w:ascii="Times New Roman" w:hAnsi="Times New Roman" w:cs="Times New Roman"/>
        </w:rPr>
        <w:t xml:space="preserve"> milyar ABD dolarına </w:t>
      </w:r>
      <w:r w:rsidR="00752663">
        <w:rPr>
          <w:rFonts w:ascii="Times New Roman" w:hAnsi="Times New Roman" w:cs="Times New Roman"/>
        </w:rPr>
        <w:t>ulaştığı</w:t>
      </w:r>
      <w:r w:rsidRPr="008C61EB">
        <w:rPr>
          <w:rFonts w:ascii="Times New Roman" w:hAnsi="Times New Roman" w:cs="Times New Roman"/>
        </w:rPr>
        <w:t xml:space="preserve"> 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257A9C">
        <w:rPr>
          <w:rFonts w:ascii="Times New Roman" w:hAnsi="Times New Roman" w:cs="Times New Roman"/>
        </w:rPr>
        <w:t>vadeli dış borç stokunun %84</w:t>
      </w:r>
      <w:r w:rsidR="009A5666">
        <w:rPr>
          <w:rFonts w:ascii="Times New Roman" w:hAnsi="Times New Roman" w:cs="Times New Roman"/>
        </w:rPr>
        <w:t>,3</w:t>
      </w:r>
      <w:r w:rsidR="00B54FC8" w:rsidRPr="008C61EB">
        <w:rPr>
          <w:rFonts w:ascii="Times New Roman" w:hAnsi="Times New Roman" w:cs="Times New Roman"/>
        </w:rPr>
        <w:t>’</w:t>
      </w:r>
      <w:r w:rsidR="00257A9C">
        <w:rPr>
          <w:rFonts w:ascii="Times New Roman" w:hAnsi="Times New Roman" w:cs="Times New Roman"/>
        </w:rPr>
        <w:t>ü</w:t>
      </w:r>
      <w:r w:rsidR="00376655">
        <w:rPr>
          <w:rFonts w:ascii="Times New Roman" w:hAnsi="Times New Roman" w:cs="Times New Roman"/>
        </w:rPr>
        <w:t>nü</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5D6C5E">
        <w:rPr>
          <w:rFonts w:ascii="Times New Roman" w:hAnsi="Times New Roman" w:cs="Times New Roman"/>
        </w:rPr>
        <w:t>2017</w:t>
      </w:r>
      <w:r w:rsidR="00DD0C6D" w:rsidRPr="008C61EB">
        <w:rPr>
          <w:rFonts w:ascii="Times New Roman" w:hAnsi="Times New Roman" w:cs="Times New Roman"/>
        </w:rPr>
        <w:t xml:space="preserve"> yılı </w:t>
      </w:r>
      <w:r w:rsidR="009A5666">
        <w:rPr>
          <w:rFonts w:ascii="Times New Roman" w:hAnsi="Times New Roman" w:cs="Times New Roman"/>
        </w:rPr>
        <w:t>Eylül</w:t>
      </w:r>
      <w:r w:rsidR="00257A9C">
        <w:rPr>
          <w:rFonts w:ascii="Times New Roman" w:hAnsi="Times New Roman" w:cs="Times New Roman"/>
        </w:rPr>
        <w:t xml:space="preserve"> </w:t>
      </w:r>
      <w:r w:rsidR="005E4CFA" w:rsidRPr="008C61EB">
        <w:rPr>
          <w:rFonts w:ascii="Times New Roman" w:hAnsi="Times New Roman" w:cs="Times New Roman"/>
        </w:rPr>
        <w:t>sonunda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5D6C5E">
        <w:rPr>
          <w:rFonts w:ascii="Times New Roman" w:hAnsi="Times New Roman" w:cs="Times New Roman"/>
        </w:rPr>
        <w:t>6</w:t>
      </w:r>
      <w:r w:rsidR="00752663">
        <w:rPr>
          <w:rFonts w:ascii="Times New Roman" w:hAnsi="Times New Roman" w:cs="Times New Roman"/>
        </w:rPr>
        <w:t xml:space="preserve"> yılsonuna </w:t>
      </w:r>
      <w:r w:rsidR="009A5666">
        <w:rPr>
          <w:rFonts w:ascii="Times New Roman" w:hAnsi="Times New Roman" w:cs="Times New Roman"/>
        </w:rPr>
        <w:t>göre %13,9</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F62741">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9A5666">
        <w:rPr>
          <w:rFonts w:ascii="Times New Roman" w:hAnsi="Times New Roman" w:cs="Times New Roman"/>
        </w:rPr>
        <w:t>93</w:t>
      </w:r>
      <w:r w:rsidR="002963F9" w:rsidRPr="008C61EB">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9A5666">
        <w:rPr>
          <w:rFonts w:ascii="Times New Roman" w:hAnsi="Times New Roman" w:cs="Times New Roman"/>
        </w:rPr>
        <w:t xml:space="preserve"> %4</w:t>
      </w:r>
      <w:r w:rsidR="00472F39">
        <w:rPr>
          <w:rFonts w:ascii="Times New Roman" w:hAnsi="Times New Roman" w:cs="Times New Roman"/>
        </w:rPr>
        <w:t>7</w:t>
      </w:r>
      <w:r w:rsidR="009A5666">
        <w:rPr>
          <w:rFonts w:ascii="Times New Roman" w:hAnsi="Times New Roman" w:cs="Times New Roman"/>
        </w:rPr>
        <w:t>,1’</w:t>
      </w:r>
      <w:r w:rsidR="00472F39">
        <w:rPr>
          <w:rFonts w:ascii="Times New Roman" w:hAnsi="Times New Roman" w:cs="Times New Roman"/>
        </w:rPr>
        <w:t>ini</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5D6C5E">
        <w:rPr>
          <w:rFonts w:ascii="Times New Roman" w:hAnsi="Times New Roman" w:cs="Times New Roman"/>
        </w:rPr>
        <w:t>7</w:t>
      </w:r>
      <w:r w:rsidRPr="008C61EB">
        <w:rPr>
          <w:rFonts w:ascii="Times New Roman" w:hAnsi="Times New Roman" w:cs="Times New Roman"/>
        </w:rPr>
        <w:t xml:space="preserve"> yılı </w:t>
      </w:r>
      <w:r w:rsidR="009A5666">
        <w:rPr>
          <w:rFonts w:ascii="Times New Roman" w:hAnsi="Times New Roman" w:cs="Times New Roman"/>
        </w:rPr>
        <w:t>Eylül</w:t>
      </w:r>
      <w:r w:rsidR="00B54FC8" w:rsidRPr="008C61EB">
        <w:rPr>
          <w:rFonts w:ascii="Times New Roman" w:hAnsi="Times New Roman" w:cs="Times New Roman"/>
        </w:rPr>
        <w:t xml:space="preserve"> </w:t>
      </w:r>
      <w:r w:rsidRPr="008C61EB">
        <w:rPr>
          <w:rFonts w:ascii="Times New Roman" w:hAnsi="Times New Roman" w:cs="Times New Roman"/>
        </w:rPr>
        <w:t>sonu 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9A5666">
        <w:rPr>
          <w:rFonts w:ascii="Times New Roman" w:hAnsi="Times New Roman" w:cs="Times New Roman"/>
        </w:rPr>
        <w:t>9</w:t>
      </w:r>
      <w:r w:rsidR="00472F39">
        <w:rPr>
          <w:rFonts w:ascii="Times New Roman" w:hAnsi="Times New Roman" w:cs="Times New Roman"/>
        </w:rPr>
        <w:t>,1</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752663">
        <w:rPr>
          <w:rFonts w:ascii="Times New Roman" w:hAnsi="Times New Roman" w:cs="Times New Roman"/>
        </w:rPr>
        <w:t>arttı</w:t>
      </w:r>
      <w:r w:rsidR="006C2C84" w:rsidRPr="008C61EB">
        <w:rPr>
          <w:rFonts w:ascii="Times New Roman" w:hAnsi="Times New Roman" w:cs="Times New Roman"/>
        </w:rPr>
        <w:t>ğı</w:t>
      </w:r>
      <w:r w:rsidR="009A5666">
        <w:rPr>
          <w:rFonts w:ascii="Times New Roman" w:hAnsi="Times New Roman" w:cs="Times New Roman"/>
        </w:rPr>
        <w:t xml:space="preserve"> ve 51,7</w:t>
      </w:r>
      <w:r w:rsidR="006C2C84" w:rsidRPr="008C61EB">
        <w:rPr>
          <w:rFonts w:ascii="Times New Roman" w:hAnsi="Times New Roman" w:cs="Times New Roman"/>
        </w:rPr>
        <w:t xml:space="preserve"> milyar ABD dolarına </w:t>
      </w:r>
      <w:r w:rsidR="00752663">
        <w:rPr>
          <w:rFonts w:ascii="Times New Roman" w:hAnsi="Times New Roman" w:cs="Times New Roman"/>
        </w:rPr>
        <w:t>ulaştığı</w:t>
      </w:r>
      <w:r w:rsidR="005E4CFA" w:rsidRPr="008C61EB">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9A5666">
        <w:rPr>
          <w:rFonts w:ascii="Times New Roman" w:hAnsi="Times New Roman" w:cs="Times New Roman"/>
        </w:rPr>
        <w:t>15,5</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9A5666">
        <w:rPr>
          <w:rFonts w:ascii="Times New Roman" w:hAnsi="Times New Roman" w:cs="Times New Roman"/>
        </w:rPr>
        <w:t>58</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5D6C5E">
        <w:rPr>
          <w:rFonts w:ascii="Times New Roman" w:hAnsi="Times New Roman" w:cs="Times New Roman"/>
        </w:rPr>
        <w:t>2017</w:t>
      </w:r>
      <w:r w:rsidR="00F11CCC" w:rsidRPr="008C61EB">
        <w:rPr>
          <w:rFonts w:ascii="Times New Roman" w:hAnsi="Times New Roman" w:cs="Times New Roman"/>
        </w:rPr>
        <w:t xml:space="preserve"> yılı </w:t>
      </w:r>
      <w:r w:rsidR="009A5666">
        <w:rPr>
          <w:rFonts w:ascii="Times New Roman" w:hAnsi="Times New Roman" w:cs="Times New Roman"/>
        </w:rPr>
        <w:t>Eylül</w:t>
      </w:r>
      <w:r w:rsidR="00717099" w:rsidRPr="008C61EB">
        <w:rPr>
          <w:rFonts w:ascii="Times New Roman" w:hAnsi="Times New Roman" w:cs="Times New Roman"/>
        </w:rPr>
        <w:t xml:space="preserve"> sonu itibarıyla </w:t>
      </w:r>
      <w:r w:rsidR="009A5666">
        <w:rPr>
          <w:rFonts w:ascii="Times New Roman" w:hAnsi="Times New Roman" w:cs="Times New Roman"/>
        </w:rPr>
        <w:t>14</w:t>
      </w:r>
      <w:r w:rsidR="00472F39">
        <w:rPr>
          <w:rFonts w:ascii="Times New Roman" w:hAnsi="Times New Roman" w:cs="Times New Roman"/>
        </w:rPr>
        <w:t>7</w:t>
      </w:r>
      <w:r w:rsidR="00717099" w:rsidRPr="008C61EB">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5D6C5E">
        <w:rPr>
          <w:rFonts w:ascii="Times New Roman" w:hAnsi="Times New Roman" w:cs="Times New Roman"/>
        </w:rPr>
        <w:t xml:space="preserve"> 2016</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9A5666">
        <w:rPr>
          <w:rFonts w:ascii="Times New Roman" w:hAnsi="Times New Roman" w:cs="Times New Roman"/>
        </w:rPr>
        <w:t>14</w:t>
      </w:r>
      <w:r w:rsidR="007C0A28">
        <w:rPr>
          <w:rFonts w:ascii="Times New Roman" w:hAnsi="Times New Roman" w:cs="Times New Roman"/>
        </w:rPr>
        <w:t xml:space="preserve"> </w:t>
      </w:r>
      <w:r w:rsidR="00520B42" w:rsidRPr="008C61EB">
        <w:rPr>
          <w:rFonts w:ascii="Times New Roman" w:hAnsi="Times New Roman" w:cs="Times New Roman"/>
        </w:rPr>
        <w:t>oranında daraldığı 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3220FE" w:rsidRDefault="003220FE"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9A5666">
        <w:rPr>
          <w:rFonts w:ascii="Times New Roman" w:hAnsi="Times New Roman" w:cs="Times New Roman"/>
        </w:rPr>
        <w:t>2017:Eylül</w:t>
      </w:r>
      <w:r w:rsidR="008460EA">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9A5666">
        <w:rPr>
          <w:rFonts w:ascii="Times New Roman" w:hAnsi="Times New Roman" w:cs="Times New Roman"/>
        </w:rPr>
        <w:t>yüzde 7,6</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0836B2">
        <w:rPr>
          <w:rFonts w:ascii="Times New Roman" w:hAnsi="Times New Roman" w:cs="Times New Roman"/>
        </w:rPr>
        <w:t>7</w:t>
      </w:r>
      <w:r w:rsidR="002F059B" w:rsidRPr="008C61EB">
        <w:rPr>
          <w:rFonts w:ascii="Times New Roman" w:hAnsi="Times New Roman" w:cs="Times New Roman"/>
        </w:rPr>
        <w:t xml:space="preserve"> yılı </w:t>
      </w:r>
      <w:r w:rsidR="009A5666">
        <w:rPr>
          <w:rFonts w:ascii="Times New Roman" w:hAnsi="Times New Roman" w:cs="Times New Roman"/>
        </w:rPr>
        <w:t>eylül</w:t>
      </w:r>
      <w:r w:rsidR="00EB5FCC">
        <w:rPr>
          <w:rFonts w:ascii="Times New Roman" w:hAnsi="Times New Roman" w:cs="Times New Roman"/>
        </w:rPr>
        <w:t xml:space="preserve"> sonu</w:t>
      </w:r>
      <w:r w:rsidR="002F059B" w:rsidRPr="008C61EB">
        <w:rPr>
          <w:rFonts w:ascii="Times New Roman" w:hAnsi="Times New Roman" w:cs="Times New Roman"/>
        </w:rPr>
        <w:t xml:space="preserve">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656BCF">
        <w:rPr>
          <w:rFonts w:ascii="Times New Roman" w:hAnsi="Times New Roman" w:cs="Times New Roman"/>
        </w:rPr>
        <w:t>%5</w:t>
      </w:r>
      <w:r w:rsidR="009A5666">
        <w:rPr>
          <w:rFonts w:ascii="Times New Roman" w:hAnsi="Times New Roman" w:cs="Times New Roman"/>
        </w:rPr>
        <w:t>2,1</w:t>
      </w:r>
      <w:r w:rsidR="002F059B" w:rsidRPr="008C61EB">
        <w:rPr>
          <w:rFonts w:ascii="Times New Roman" w:hAnsi="Times New Roman" w:cs="Times New Roman"/>
        </w:rPr>
        <w:t>’</w:t>
      </w:r>
      <w:r w:rsidR="00DA6B5A">
        <w:rPr>
          <w:rFonts w:ascii="Times New Roman" w:hAnsi="Times New Roman" w:cs="Times New Roman"/>
        </w:rPr>
        <w:t>i</w:t>
      </w:r>
      <w:r w:rsidRPr="008C61EB">
        <w:rPr>
          <w:rFonts w:ascii="Times New Roman" w:hAnsi="Times New Roman" w:cs="Times New Roman"/>
        </w:rPr>
        <w:t xml:space="preserve"> </w:t>
      </w:r>
      <w:r w:rsidR="009A5666">
        <w:rPr>
          <w:rFonts w:ascii="Times New Roman" w:hAnsi="Times New Roman" w:cs="Times New Roman"/>
        </w:rPr>
        <w:t>ABD doları, %30,3’ü</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9A5666">
        <w:rPr>
          <w:rFonts w:ascii="Times New Roman" w:hAnsi="Times New Roman" w:cs="Times New Roman"/>
        </w:rPr>
        <w:t>4,7</w:t>
      </w:r>
      <w:r w:rsidR="00544E23" w:rsidRPr="008C61EB">
        <w:rPr>
          <w:rFonts w:ascii="Times New Roman" w:hAnsi="Times New Roman" w:cs="Times New Roman"/>
        </w:rPr>
        <w:t>’</w:t>
      </w:r>
      <w:r w:rsidR="009A5666">
        <w:rPr>
          <w:rFonts w:ascii="Times New Roman" w:hAnsi="Times New Roman" w:cs="Times New Roman"/>
        </w:rPr>
        <w:t>s</w:t>
      </w:r>
      <w:r w:rsidR="00B23BF8">
        <w:rPr>
          <w:rFonts w:ascii="Times New Roman" w:hAnsi="Times New Roman" w:cs="Times New Roman"/>
        </w:rPr>
        <w:t>i</w:t>
      </w:r>
      <w:r w:rsidR="004571FD" w:rsidRPr="008C61EB">
        <w:rPr>
          <w:rFonts w:ascii="Times New Roman" w:hAnsi="Times New Roman" w:cs="Times New Roman"/>
        </w:rPr>
        <w:t xml:space="preserve"> TL ve %</w:t>
      </w:r>
      <w:r w:rsidR="00EB5FCC">
        <w:rPr>
          <w:rFonts w:ascii="Times New Roman" w:hAnsi="Times New Roman" w:cs="Times New Roman"/>
        </w:rPr>
        <w:t>2,9</w:t>
      </w:r>
      <w:r w:rsidR="00952FB2">
        <w:rPr>
          <w:rFonts w:ascii="Times New Roman" w:hAnsi="Times New Roman" w:cs="Times New Roman"/>
        </w:rPr>
        <w:t>’</w:t>
      </w:r>
      <w:r w:rsidR="00EB5FCC">
        <w:rPr>
          <w:rFonts w:ascii="Times New Roman" w:hAnsi="Times New Roman" w:cs="Times New Roman"/>
        </w:rPr>
        <w:t>u</w:t>
      </w:r>
      <w:r w:rsidR="00952FB2">
        <w:rPr>
          <w:rFonts w:ascii="Times New Roman" w:hAnsi="Times New Roman" w:cs="Times New Roman"/>
        </w:rPr>
        <w:t xml:space="preserve"> </w:t>
      </w:r>
      <w:r w:rsidR="00717099" w:rsidRPr="008C61EB">
        <w:rPr>
          <w:rFonts w:ascii="Times New Roman" w:hAnsi="Times New Roman" w:cs="Times New Roman"/>
        </w:rPr>
        <w:t>d</w:t>
      </w:r>
      <w:r w:rsidR="00EB5FCC">
        <w:rPr>
          <w:rFonts w:ascii="Times New Roman" w:hAnsi="Times New Roman" w:cs="Times New Roman"/>
        </w:rPr>
        <w:t>a</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0836B2">
        <w:rPr>
          <w:rFonts w:ascii="Times New Roman" w:hAnsi="Times New Roman" w:cs="Times New Roman"/>
        </w:rPr>
        <w:t xml:space="preserve"> </w:t>
      </w:r>
      <w:r w:rsidR="00913A53">
        <w:rPr>
          <w:rFonts w:ascii="Times New Roman" w:hAnsi="Times New Roman" w:cs="Times New Roman"/>
        </w:rPr>
        <w:t>Q3</w:t>
      </w:r>
      <w:r w:rsidR="00376655">
        <w:rPr>
          <w:rFonts w:ascii="Times New Roman" w:hAnsi="Times New Roman" w:cs="Times New Roman"/>
        </w:rPr>
        <w:t>:</w:t>
      </w:r>
      <w:r w:rsidR="000836B2">
        <w:rPr>
          <w:rFonts w:ascii="Times New Roman" w:hAnsi="Times New Roman" w:cs="Times New Roman"/>
        </w:rPr>
        <w:t>2017</w:t>
      </w:r>
      <w:r w:rsidRPr="008C61EB">
        <w:rPr>
          <w:rFonts w:ascii="Times New Roman" w:hAnsi="Times New Roman" w:cs="Times New Roman"/>
        </w:rPr>
        <w:t>)</w:t>
      </w:r>
    </w:p>
    <w:p w:rsidR="00B74E8E" w:rsidRPr="00A731EE" w:rsidRDefault="00913A53" w:rsidP="002963F9">
      <w:pPr>
        <w:jc w:val="both"/>
        <w:rPr>
          <w:rFonts w:ascii="Times New Roman" w:hAnsi="Times New Roman" w:cs="Times New Roman"/>
        </w:rPr>
      </w:pPr>
      <w:r>
        <w:rPr>
          <w:noProof/>
        </w:rPr>
        <w:drawing>
          <wp:inline distT="0" distB="0" distL="0" distR="0" wp14:anchorId="2AD6E8DA" wp14:editId="1E42FC00">
            <wp:extent cx="5892800" cy="3155950"/>
            <wp:effectExtent l="0" t="0" r="0" b="635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bookmarkStart w:id="0" w:name="_GoBack"/>
      <w:bookmarkEnd w:id="0"/>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0836B2">
        <w:rPr>
          <w:rFonts w:ascii="Times New Roman" w:hAnsi="Times New Roman" w:cs="Times New Roman"/>
        </w:rPr>
        <w:t>2017</w:t>
      </w:r>
      <w:r w:rsidR="00544E23" w:rsidRPr="008C61EB">
        <w:rPr>
          <w:rFonts w:ascii="Times New Roman" w:hAnsi="Times New Roman" w:cs="Times New Roman"/>
        </w:rPr>
        <w:t xml:space="preserve"> yılı </w:t>
      </w:r>
      <w:r w:rsidR="007F7A07">
        <w:rPr>
          <w:rFonts w:ascii="Times New Roman" w:hAnsi="Times New Roman" w:cs="Times New Roman"/>
        </w:rPr>
        <w:t>eylül</w:t>
      </w:r>
      <w:r w:rsidR="00FB202C">
        <w:rPr>
          <w:rFonts w:ascii="Times New Roman" w:hAnsi="Times New Roman" w:cs="Times New Roman"/>
        </w:rPr>
        <w:t xml:space="preserve"> </w:t>
      </w:r>
      <w:r w:rsidRPr="008C61EB">
        <w:rPr>
          <w:rFonts w:ascii="Times New Roman" w:hAnsi="Times New Roman" w:cs="Times New Roman"/>
        </w:rPr>
        <w:t xml:space="preserve">sonu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7F7A07">
        <w:rPr>
          <w:rFonts w:ascii="Times New Roman" w:hAnsi="Times New Roman" w:cs="Times New Roman"/>
        </w:rPr>
        <w:t xml:space="preserve"> 170,1</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7F7A07">
        <w:rPr>
          <w:rFonts w:ascii="Times New Roman" w:hAnsi="Times New Roman" w:cs="Times New Roman"/>
        </w:rPr>
        <w:t>4</w:t>
      </w:r>
      <w:r w:rsidR="00E20229">
        <w:rPr>
          <w:rFonts w:ascii="Times New Roman" w:hAnsi="Times New Roman" w:cs="Times New Roman"/>
        </w:rPr>
        <w:t>5</w:t>
      </w:r>
      <w:r w:rsidR="007F7A07">
        <w:rPr>
          <w:rFonts w:ascii="Times New Roman" w:hAnsi="Times New Roman" w:cs="Times New Roman"/>
        </w:rPr>
        <w:t>,1</w:t>
      </w:r>
      <w:r w:rsidR="00BE5D6A" w:rsidRPr="008C61EB">
        <w:rPr>
          <w:rFonts w:ascii="Times New Roman" w:hAnsi="Times New Roman" w:cs="Times New Roman"/>
        </w:rPr>
        <w:t>’</w:t>
      </w:r>
      <w:r w:rsidR="00E20229">
        <w:rPr>
          <w:rFonts w:ascii="Times New Roman" w:hAnsi="Times New Roman" w:cs="Times New Roman"/>
        </w:rPr>
        <w:t>i</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7F7A07">
        <w:rPr>
          <w:rFonts w:ascii="Times New Roman" w:hAnsi="Times New Roman" w:cs="Times New Roman"/>
        </w:rPr>
        <w:t>21,9</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7F7A07">
        <w:rPr>
          <w:rFonts w:ascii="Times New Roman" w:hAnsi="Times New Roman" w:cs="Times New Roman"/>
        </w:rPr>
        <w:t>85</w:t>
      </w:r>
      <w:r w:rsidR="00BE5D6A" w:rsidRPr="008C61EB">
        <w:rPr>
          <w:rFonts w:ascii="Times New Roman" w:hAnsi="Times New Roman" w:cs="Times New Roman"/>
        </w:rPr>
        <w:t>’l</w:t>
      </w:r>
      <w:r w:rsidR="007F7A07">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7F7A07">
        <w:rPr>
          <w:rFonts w:ascii="Times New Roman" w:hAnsi="Times New Roman" w:cs="Times New Roman"/>
        </w:rPr>
        <w:t>4,6</w:t>
      </w:r>
      <w:r w:rsidR="009C066A">
        <w:rPr>
          <w:rFonts w:ascii="Times New Roman" w:hAnsi="Times New Roman" w:cs="Times New Roman"/>
        </w:rPr>
        <w:t xml:space="preserve"> </w:t>
      </w:r>
      <w:r w:rsidR="00BE5D6A" w:rsidRPr="008C61EB">
        <w:rPr>
          <w:rFonts w:ascii="Times New Roman" w:hAnsi="Times New Roman" w:cs="Times New Roman"/>
        </w:rPr>
        <w:t>ve %</w:t>
      </w:r>
      <w:r w:rsidR="00465103" w:rsidRPr="008C61EB">
        <w:rPr>
          <w:rFonts w:ascii="Times New Roman" w:hAnsi="Times New Roman" w:cs="Times New Roman"/>
        </w:rPr>
        <w:t>0,</w:t>
      </w:r>
      <w:r w:rsidR="00B23BF8">
        <w:rPr>
          <w:rFonts w:ascii="Times New Roman" w:hAnsi="Times New Roman" w:cs="Times New Roman"/>
        </w:rPr>
        <w:t>4</w:t>
      </w:r>
      <w:r w:rsidR="00BC116D" w:rsidRPr="008C61EB">
        <w:rPr>
          <w:rFonts w:ascii="Times New Roman" w:hAnsi="Times New Roman" w:cs="Times New Roman"/>
        </w:rPr>
        <w:t>’</w:t>
      </w:r>
      <w:r w:rsidR="00B23BF8">
        <w:rPr>
          <w:rFonts w:ascii="Times New Roman" w:hAnsi="Times New Roman" w:cs="Times New Roman"/>
        </w:rPr>
        <w:t>tür</w:t>
      </w:r>
      <w:r w:rsidR="00D875DB" w:rsidRPr="008C61EB">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FC8" w:rsidRDefault="00C90FC8" w:rsidP="004A23EE">
      <w:pPr>
        <w:spacing w:after="0" w:line="240" w:lineRule="auto"/>
      </w:pPr>
      <w:r>
        <w:separator/>
      </w:r>
    </w:p>
  </w:endnote>
  <w:endnote w:type="continuationSeparator" w:id="0">
    <w:p w:rsidR="00C90FC8" w:rsidRDefault="00C90FC8"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CE5AC0">
          <w:rPr>
            <w:noProof/>
          </w:rPr>
          <w:t>3</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FC8" w:rsidRDefault="00C90FC8" w:rsidP="004A23EE">
      <w:pPr>
        <w:spacing w:after="0" w:line="240" w:lineRule="auto"/>
      </w:pPr>
      <w:r>
        <w:separator/>
      </w:r>
    </w:p>
  </w:footnote>
  <w:footnote w:type="continuationSeparator" w:id="0">
    <w:p w:rsidR="00C90FC8" w:rsidRDefault="00C90FC8"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22ACB"/>
    <w:rsid w:val="000305E1"/>
    <w:rsid w:val="00035D1E"/>
    <w:rsid w:val="0003691A"/>
    <w:rsid w:val="00045AB8"/>
    <w:rsid w:val="00050873"/>
    <w:rsid w:val="000608F0"/>
    <w:rsid w:val="00066BA4"/>
    <w:rsid w:val="000701FD"/>
    <w:rsid w:val="00077DBA"/>
    <w:rsid w:val="000836B2"/>
    <w:rsid w:val="00085316"/>
    <w:rsid w:val="000A1EC7"/>
    <w:rsid w:val="000B4DBF"/>
    <w:rsid w:val="000D18BE"/>
    <w:rsid w:val="000D1FAF"/>
    <w:rsid w:val="000D6491"/>
    <w:rsid w:val="000D6E64"/>
    <w:rsid w:val="00113CC2"/>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E11A2"/>
    <w:rsid w:val="001E5A63"/>
    <w:rsid w:val="001F27E9"/>
    <w:rsid w:val="001F6251"/>
    <w:rsid w:val="001F7633"/>
    <w:rsid w:val="0020149A"/>
    <w:rsid w:val="002056D6"/>
    <w:rsid w:val="0021386F"/>
    <w:rsid w:val="00227F31"/>
    <w:rsid w:val="002319EB"/>
    <w:rsid w:val="00233BD5"/>
    <w:rsid w:val="00243F52"/>
    <w:rsid w:val="002456F8"/>
    <w:rsid w:val="00251C0B"/>
    <w:rsid w:val="0025674F"/>
    <w:rsid w:val="00257A9C"/>
    <w:rsid w:val="00260053"/>
    <w:rsid w:val="002634DE"/>
    <w:rsid w:val="002826FF"/>
    <w:rsid w:val="00282930"/>
    <w:rsid w:val="002942B2"/>
    <w:rsid w:val="00295E65"/>
    <w:rsid w:val="002963F9"/>
    <w:rsid w:val="002B12AA"/>
    <w:rsid w:val="002B75B7"/>
    <w:rsid w:val="002D3475"/>
    <w:rsid w:val="002D3E19"/>
    <w:rsid w:val="002E67DE"/>
    <w:rsid w:val="002F059B"/>
    <w:rsid w:val="003220FE"/>
    <w:rsid w:val="00323271"/>
    <w:rsid w:val="0033350E"/>
    <w:rsid w:val="00337ACE"/>
    <w:rsid w:val="00337BC0"/>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25F33"/>
    <w:rsid w:val="0043077D"/>
    <w:rsid w:val="00432DF5"/>
    <w:rsid w:val="0043432F"/>
    <w:rsid w:val="004368C8"/>
    <w:rsid w:val="00440681"/>
    <w:rsid w:val="00444F29"/>
    <w:rsid w:val="00451BAA"/>
    <w:rsid w:val="004520EC"/>
    <w:rsid w:val="004571FD"/>
    <w:rsid w:val="00465103"/>
    <w:rsid w:val="00472F39"/>
    <w:rsid w:val="00480938"/>
    <w:rsid w:val="00481D00"/>
    <w:rsid w:val="004870C2"/>
    <w:rsid w:val="004875A5"/>
    <w:rsid w:val="00493525"/>
    <w:rsid w:val="004A23EE"/>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91000"/>
    <w:rsid w:val="00591547"/>
    <w:rsid w:val="005A4A71"/>
    <w:rsid w:val="005B25D6"/>
    <w:rsid w:val="005C23EE"/>
    <w:rsid w:val="005C2C76"/>
    <w:rsid w:val="005C53F8"/>
    <w:rsid w:val="005D278D"/>
    <w:rsid w:val="005D6C5E"/>
    <w:rsid w:val="005E0DA9"/>
    <w:rsid w:val="005E4CFA"/>
    <w:rsid w:val="005F460B"/>
    <w:rsid w:val="006020BD"/>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2113"/>
    <w:rsid w:val="006B3796"/>
    <w:rsid w:val="006C2C84"/>
    <w:rsid w:val="006D41B5"/>
    <w:rsid w:val="006F372B"/>
    <w:rsid w:val="006F7B49"/>
    <w:rsid w:val="0070186C"/>
    <w:rsid w:val="00702562"/>
    <w:rsid w:val="007110AD"/>
    <w:rsid w:val="00717099"/>
    <w:rsid w:val="00731B2B"/>
    <w:rsid w:val="007330A1"/>
    <w:rsid w:val="00736CD9"/>
    <w:rsid w:val="007441EB"/>
    <w:rsid w:val="00752663"/>
    <w:rsid w:val="0076142E"/>
    <w:rsid w:val="00762A9A"/>
    <w:rsid w:val="00763473"/>
    <w:rsid w:val="00765C90"/>
    <w:rsid w:val="00765F6E"/>
    <w:rsid w:val="00771314"/>
    <w:rsid w:val="007736BE"/>
    <w:rsid w:val="007A112F"/>
    <w:rsid w:val="007B0983"/>
    <w:rsid w:val="007C0A28"/>
    <w:rsid w:val="007C501E"/>
    <w:rsid w:val="007D79D8"/>
    <w:rsid w:val="007F7A07"/>
    <w:rsid w:val="0080671C"/>
    <w:rsid w:val="0084432D"/>
    <w:rsid w:val="008460EA"/>
    <w:rsid w:val="008522EE"/>
    <w:rsid w:val="00877913"/>
    <w:rsid w:val="00882AC1"/>
    <w:rsid w:val="0088665D"/>
    <w:rsid w:val="008B642B"/>
    <w:rsid w:val="008C0FFC"/>
    <w:rsid w:val="008C2C15"/>
    <w:rsid w:val="008C61EB"/>
    <w:rsid w:val="008D1077"/>
    <w:rsid w:val="008E098A"/>
    <w:rsid w:val="008F0AD9"/>
    <w:rsid w:val="009058F6"/>
    <w:rsid w:val="00911741"/>
    <w:rsid w:val="009137E9"/>
    <w:rsid w:val="00913A53"/>
    <w:rsid w:val="00917F91"/>
    <w:rsid w:val="009211FE"/>
    <w:rsid w:val="009226FD"/>
    <w:rsid w:val="00950E64"/>
    <w:rsid w:val="00952FB2"/>
    <w:rsid w:val="009805F0"/>
    <w:rsid w:val="00985725"/>
    <w:rsid w:val="00990FF7"/>
    <w:rsid w:val="009943BA"/>
    <w:rsid w:val="009A5666"/>
    <w:rsid w:val="009C066A"/>
    <w:rsid w:val="009C4086"/>
    <w:rsid w:val="009D7495"/>
    <w:rsid w:val="009E39D5"/>
    <w:rsid w:val="009F54F1"/>
    <w:rsid w:val="00A01910"/>
    <w:rsid w:val="00A06A8D"/>
    <w:rsid w:val="00A3231D"/>
    <w:rsid w:val="00A51EF0"/>
    <w:rsid w:val="00A62427"/>
    <w:rsid w:val="00A71A49"/>
    <w:rsid w:val="00A731EE"/>
    <w:rsid w:val="00A74E7E"/>
    <w:rsid w:val="00A767FF"/>
    <w:rsid w:val="00A77365"/>
    <w:rsid w:val="00A814BE"/>
    <w:rsid w:val="00A858CF"/>
    <w:rsid w:val="00A9400F"/>
    <w:rsid w:val="00A95DD9"/>
    <w:rsid w:val="00A97D78"/>
    <w:rsid w:val="00AB4A0A"/>
    <w:rsid w:val="00AC652E"/>
    <w:rsid w:val="00AD2065"/>
    <w:rsid w:val="00AE3004"/>
    <w:rsid w:val="00AF5995"/>
    <w:rsid w:val="00B01F5A"/>
    <w:rsid w:val="00B050FE"/>
    <w:rsid w:val="00B22842"/>
    <w:rsid w:val="00B23BF8"/>
    <w:rsid w:val="00B33D14"/>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E70"/>
    <w:rsid w:val="00C143CC"/>
    <w:rsid w:val="00C144CC"/>
    <w:rsid w:val="00C21D8B"/>
    <w:rsid w:val="00C234E9"/>
    <w:rsid w:val="00C35E5C"/>
    <w:rsid w:val="00C41246"/>
    <w:rsid w:val="00C43C50"/>
    <w:rsid w:val="00C51D90"/>
    <w:rsid w:val="00C61B29"/>
    <w:rsid w:val="00C623A8"/>
    <w:rsid w:val="00C651B6"/>
    <w:rsid w:val="00C65655"/>
    <w:rsid w:val="00C90FC8"/>
    <w:rsid w:val="00C929E3"/>
    <w:rsid w:val="00C962BA"/>
    <w:rsid w:val="00C96347"/>
    <w:rsid w:val="00CA417B"/>
    <w:rsid w:val="00CB3B3E"/>
    <w:rsid w:val="00CC007D"/>
    <w:rsid w:val="00CC44D7"/>
    <w:rsid w:val="00CC6AFC"/>
    <w:rsid w:val="00CC7D5F"/>
    <w:rsid w:val="00CD1186"/>
    <w:rsid w:val="00CD373D"/>
    <w:rsid w:val="00CD7675"/>
    <w:rsid w:val="00CE5AC0"/>
    <w:rsid w:val="00CE6A4C"/>
    <w:rsid w:val="00CF3B6D"/>
    <w:rsid w:val="00D11DCF"/>
    <w:rsid w:val="00D2299D"/>
    <w:rsid w:val="00D23355"/>
    <w:rsid w:val="00D46E04"/>
    <w:rsid w:val="00D603C9"/>
    <w:rsid w:val="00D7177D"/>
    <w:rsid w:val="00D76048"/>
    <w:rsid w:val="00D875DB"/>
    <w:rsid w:val="00DA6B5A"/>
    <w:rsid w:val="00DA7BAB"/>
    <w:rsid w:val="00DB196B"/>
    <w:rsid w:val="00DC0D39"/>
    <w:rsid w:val="00DC5FDC"/>
    <w:rsid w:val="00DD0C6D"/>
    <w:rsid w:val="00DD26FB"/>
    <w:rsid w:val="00DE7934"/>
    <w:rsid w:val="00E14C00"/>
    <w:rsid w:val="00E17DF5"/>
    <w:rsid w:val="00E20229"/>
    <w:rsid w:val="00E2132C"/>
    <w:rsid w:val="00E25914"/>
    <w:rsid w:val="00E3028B"/>
    <w:rsid w:val="00E53AEE"/>
    <w:rsid w:val="00E56C02"/>
    <w:rsid w:val="00E73089"/>
    <w:rsid w:val="00E80078"/>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62741"/>
    <w:rsid w:val="00F7441E"/>
    <w:rsid w:val="00F74CC6"/>
    <w:rsid w:val="00F7700A"/>
    <w:rsid w:val="00F82FEE"/>
    <w:rsid w:val="00F96F10"/>
    <w:rsid w:val="00FB202C"/>
    <w:rsid w:val="00FB2490"/>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2014\Desktop\B&#252;ltenler\Akademik%20dan&#305;&#351;manlar_b&#252;ltenler\K&#305;sa%20vadeli%20d&#305;&#351;%20bor&#231;%20istatistikleri\2017\Eyl&#252;l\K&#305;sa%20vadeli%20d&#305;&#351;%20bor&#231;%20istatistikleri_0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3706896551724137E-2"/>
          <c:y val="5.0925925925925923E-2"/>
          <c:w val="0.95707337768123812"/>
          <c:h val="0.67993256051326922"/>
        </c:manualLayout>
      </c:layout>
      <c:barChart>
        <c:barDir val="col"/>
        <c:grouping val="percentStacked"/>
        <c:varyColors val="0"/>
        <c:ser>
          <c:idx val="0"/>
          <c:order val="0"/>
          <c:tx>
            <c:strRef>
              <c:f>'5'!$A$17</c:f>
              <c:strCache>
                <c:ptCount val="1"/>
                <c:pt idx="0">
                  <c:v>ABD Doları</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'5'!$B$16:$P$16</c:f>
              <c:strCach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2017-Q1</c:v>
                </c:pt>
                <c:pt idx="13">
                  <c:v>2017-Q2</c:v>
                </c:pt>
                <c:pt idx="14">
                  <c:v>2017-Q3</c:v>
                </c:pt>
              </c:strCache>
            </c:strRef>
          </c:cat>
          <c:val>
            <c:numRef>
              <c:f>'5'!$B$17:$P$17</c:f>
              <c:numCache>
                <c:formatCode>0.0</c:formatCode>
                <c:ptCount val="15"/>
                <c:pt idx="0">
                  <c:v>59.726576553425502</c:v>
                </c:pt>
                <c:pt idx="1">
                  <c:v>54.332252117704712</c:v>
                </c:pt>
                <c:pt idx="2">
                  <c:v>53.205692828334335</c:v>
                </c:pt>
                <c:pt idx="3">
                  <c:v>49.921922608165751</c:v>
                </c:pt>
                <c:pt idx="4">
                  <c:v>48.573820364660961</c:v>
                </c:pt>
                <c:pt idx="5">
                  <c:v>43.522115185415373</c:v>
                </c:pt>
                <c:pt idx="6">
                  <c:v>51.213889842562168</c:v>
                </c:pt>
                <c:pt idx="7">
                  <c:v>49.902650891118768</c:v>
                </c:pt>
                <c:pt idx="8">
                  <c:v>50.272850772501556</c:v>
                </c:pt>
                <c:pt idx="9">
                  <c:v>52.951772887926118</c:v>
                </c:pt>
                <c:pt idx="10">
                  <c:v>54.380282104891201</c:v>
                </c:pt>
                <c:pt idx="11">
                  <c:v>51.681748161145855</c:v>
                </c:pt>
                <c:pt idx="12">
                  <c:v>51.421810216694041</c:v>
                </c:pt>
                <c:pt idx="13">
                  <c:v>51.477122502937725</c:v>
                </c:pt>
                <c:pt idx="14">
                  <c:v>52.112548383295412</c:v>
                </c:pt>
              </c:numCache>
            </c:numRef>
          </c:val>
        </c:ser>
        <c:ser>
          <c:idx val="1"/>
          <c:order val="1"/>
          <c:tx>
            <c:strRef>
              <c:f>'5'!$A$18</c:f>
              <c:strCache>
                <c:ptCount val="1"/>
                <c:pt idx="0">
                  <c:v>Euro</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'5'!$B$16:$P$16</c:f>
              <c:strCach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2017-Q1</c:v>
                </c:pt>
                <c:pt idx="13">
                  <c:v>2017-Q2</c:v>
                </c:pt>
                <c:pt idx="14">
                  <c:v>2017-Q3</c:v>
                </c:pt>
              </c:strCache>
            </c:strRef>
          </c:cat>
          <c:val>
            <c:numRef>
              <c:f>'5'!$B$18:$P$18</c:f>
              <c:numCache>
                <c:formatCode>#,##0.0</c:formatCode>
                <c:ptCount val="15"/>
                <c:pt idx="0">
                  <c:v>30.068869815490569</c:v>
                </c:pt>
                <c:pt idx="1">
                  <c:v>23.855972744031924</c:v>
                </c:pt>
                <c:pt idx="2">
                  <c:v>29.671781558574011</c:v>
                </c:pt>
                <c:pt idx="3">
                  <c:v>29.699878123095676</c:v>
                </c:pt>
                <c:pt idx="4">
                  <c:v>28.727770177838579</c:v>
                </c:pt>
                <c:pt idx="5">
                  <c:v>26.254661280298318</c:v>
                </c:pt>
                <c:pt idx="6">
                  <c:v>32.746824267987641</c:v>
                </c:pt>
                <c:pt idx="7">
                  <c:v>32.319904148569719</c:v>
                </c:pt>
                <c:pt idx="8">
                  <c:v>34.624033893361783</c:v>
                </c:pt>
                <c:pt idx="9">
                  <c:v>30.877513016379737</c:v>
                </c:pt>
                <c:pt idx="10">
                  <c:v>30.057814815905452</c:v>
                </c:pt>
                <c:pt idx="11">
                  <c:v>30.590779714964857</c:v>
                </c:pt>
                <c:pt idx="12">
                  <c:v>30.473089259172337</c:v>
                </c:pt>
                <c:pt idx="13">
                  <c:v>30.191502643948297</c:v>
                </c:pt>
                <c:pt idx="14">
                  <c:v>30.296327855180976</c:v>
                </c:pt>
              </c:numCache>
            </c:numRef>
          </c:val>
        </c:ser>
        <c:ser>
          <c:idx val="2"/>
          <c:order val="2"/>
          <c:tx>
            <c:strRef>
              <c:f>'5'!$A$19</c:f>
              <c:strCache>
                <c:ptCount val="1"/>
                <c:pt idx="0">
                  <c:v>TL</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'5'!$B$16:$P$16</c:f>
              <c:strCach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2017-Q1</c:v>
                </c:pt>
                <c:pt idx="13">
                  <c:v>2017-Q2</c:v>
                </c:pt>
                <c:pt idx="14">
                  <c:v>2017-Q3</c:v>
                </c:pt>
              </c:strCache>
            </c:strRef>
          </c:cat>
          <c:val>
            <c:numRef>
              <c:f>'5'!$B$19:$P$19</c:f>
              <c:numCache>
                <c:formatCode>#,##0.0</c:formatCode>
                <c:ptCount val="15"/>
                <c:pt idx="0">
                  <c:v>7.462609857634785</c:v>
                </c:pt>
                <c:pt idx="1">
                  <c:v>19.328868457284205</c:v>
                </c:pt>
                <c:pt idx="2">
                  <c:v>14.438366325158777</c:v>
                </c:pt>
                <c:pt idx="3">
                  <c:v>18.281535648994517</c:v>
                </c:pt>
                <c:pt idx="4">
                  <c:v>20.683177818159546</c:v>
                </c:pt>
                <c:pt idx="5">
                  <c:v>28.35353221462606</c:v>
                </c:pt>
                <c:pt idx="6">
                  <c:v>14.249104909510029</c:v>
                </c:pt>
                <c:pt idx="7">
                  <c:v>15.40512206080575</c:v>
                </c:pt>
                <c:pt idx="8">
                  <c:v>12.619444167287073</c:v>
                </c:pt>
                <c:pt idx="9">
                  <c:v>13.492950252726791</c:v>
                </c:pt>
                <c:pt idx="10">
                  <c:v>12.909685208633942</c:v>
                </c:pt>
                <c:pt idx="11">
                  <c:v>15.023004804994747</c:v>
                </c:pt>
                <c:pt idx="12">
                  <c:v>15.372956270046156</c:v>
                </c:pt>
                <c:pt idx="13">
                  <c:v>15.591032608695651</c:v>
                </c:pt>
                <c:pt idx="14">
                  <c:v>14.690392233291332</c:v>
                </c:pt>
              </c:numCache>
            </c:numRef>
          </c:val>
        </c:ser>
        <c:ser>
          <c:idx val="3"/>
          <c:order val="3"/>
          <c:tx>
            <c:strRef>
              <c:f>'5'!$A$20</c:f>
              <c:strCache>
                <c:ptCount val="1"/>
                <c:pt idx="0">
                  <c:v>Diğer</c:v>
                </c:pt>
              </c:strCache>
            </c:strRef>
          </c:tx>
          <c:invertIfNegative val="0"/>
          <c:dLbls>
            <c:txPr>
              <a:bodyPr/>
              <a:lstStyle/>
              <a:p>
                <a:pPr>
                  <a:defRPr b="1">
                    <a:solidFill>
                      <a:sysClr val="windowText" lastClr="000000"/>
                    </a:solidFill>
                  </a:defRPr>
                </a:pPr>
                <a:endParaRPr lang="tr-TR"/>
              </a:p>
            </c:txPr>
            <c:dLblPos val="inBase"/>
            <c:showLegendKey val="0"/>
            <c:showVal val="1"/>
            <c:showCatName val="0"/>
            <c:showSerName val="0"/>
            <c:showPercent val="0"/>
            <c:showBubbleSize val="0"/>
            <c:showLeaderLines val="0"/>
          </c:dLbls>
          <c:cat>
            <c:strRef>
              <c:f>'5'!$B$16:$P$16</c:f>
              <c:strCach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2017-Q1</c:v>
                </c:pt>
                <c:pt idx="13">
                  <c:v>2017-Q2</c:v>
                </c:pt>
                <c:pt idx="14">
                  <c:v>2017-Q3</c:v>
                </c:pt>
              </c:strCache>
            </c:strRef>
          </c:cat>
          <c:val>
            <c:numRef>
              <c:f>'5'!$B$20:$P$20</c:f>
              <c:numCache>
                <c:formatCode>#,##0.0</c:formatCode>
                <c:ptCount val="15"/>
                <c:pt idx="0">
                  <c:v>2.7419437734491443</c:v>
                </c:pt>
                <c:pt idx="1">
                  <c:v>2.4829066809791613</c:v>
                </c:pt>
                <c:pt idx="2">
                  <c:v>2.6841592879328728</c:v>
                </c:pt>
                <c:pt idx="3">
                  <c:v>2.0966636197440587</c:v>
                </c:pt>
                <c:pt idx="4">
                  <c:v>2.0152316393409153</c:v>
                </c:pt>
                <c:pt idx="5">
                  <c:v>1.8696913196602445</c:v>
                </c:pt>
                <c:pt idx="6">
                  <c:v>1.790180979940164</c:v>
                </c:pt>
                <c:pt idx="7">
                  <c:v>2.3723228995057659</c:v>
                </c:pt>
                <c:pt idx="8">
                  <c:v>2.4836711668495903</c:v>
                </c:pt>
                <c:pt idx="9">
                  <c:v>2.6777638429673547</c:v>
                </c:pt>
                <c:pt idx="10">
                  <c:v>2.6522178705694124</c:v>
                </c:pt>
                <c:pt idx="11">
                  <c:v>2.7044673188945452</c:v>
                </c:pt>
                <c:pt idx="12">
                  <c:v>2.7321442540874599</c:v>
                </c:pt>
                <c:pt idx="13">
                  <c:v>2.7403422444183314</c:v>
                </c:pt>
                <c:pt idx="14">
                  <c:v>2.9007315282322761</c:v>
                </c:pt>
              </c:numCache>
            </c:numRef>
          </c:val>
        </c:ser>
        <c:dLbls>
          <c:showLegendKey val="0"/>
          <c:showVal val="0"/>
          <c:showCatName val="0"/>
          <c:showSerName val="0"/>
          <c:showPercent val="0"/>
          <c:showBubbleSize val="0"/>
        </c:dLbls>
        <c:gapWidth val="150"/>
        <c:overlap val="100"/>
        <c:axId val="165332864"/>
        <c:axId val="165334400"/>
      </c:barChart>
      <c:catAx>
        <c:axId val="165332864"/>
        <c:scaling>
          <c:orientation val="minMax"/>
        </c:scaling>
        <c:delete val="0"/>
        <c:axPos val="b"/>
        <c:majorTickMark val="out"/>
        <c:minorTickMark val="none"/>
        <c:tickLblPos val="nextTo"/>
        <c:txPr>
          <a:bodyPr rot="-2700000" vert="horz"/>
          <a:lstStyle/>
          <a:p>
            <a:pPr>
              <a:defRPr/>
            </a:pPr>
            <a:endParaRPr lang="tr-TR"/>
          </a:p>
        </c:txPr>
        <c:crossAx val="165334400"/>
        <c:crosses val="autoZero"/>
        <c:auto val="1"/>
        <c:lblAlgn val="ctr"/>
        <c:lblOffset val="100"/>
        <c:noMultiLvlLbl val="0"/>
      </c:catAx>
      <c:valAx>
        <c:axId val="165334400"/>
        <c:scaling>
          <c:orientation val="minMax"/>
        </c:scaling>
        <c:delete val="1"/>
        <c:axPos val="l"/>
        <c:numFmt formatCode="0%" sourceLinked="1"/>
        <c:majorTickMark val="out"/>
        <c:minorTickMark val="none"/>
        <c:tickLblPos val="nextTo"/>
        <c:crossAx val="16533286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E1360-0F51-4253-956D-EA77DED7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611</Words>
  <Characters>3488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14</cp:lastModifiedBy>
  <cp:revision>5</cp:revision>
  <cp:lastPrinted>2017-11-16T08:06:00Z</cp:lastPrinted>
  <dcterms:created xsi:type="dcterms:W3CDTF">2017-11-16T08:03:00Z</dcterms:created>
  <dcterms:modified xsi:type="dcterms:W3CDTF">2017-11-16T11:05:00Z</dcterms:modified>
</cp:coreProperties>
</file>